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29" w:rsidRPr="00962529" w:rsidRDefault="00962529" w:rsidP="00962529">
      <w:pPr>
        <w:shd w:val="clear" w:color="auto" w:fill="FFFFFF"/>
        <w:spacing w:after="124" w:line="240" w:lineRule="auto"/>
        <w:jc w:val="center"/>
        <w:rPr>
          <w:rFonts w:ascii="Helvetica" w:eastAsia="Times New Roman" w:hAnsi="Helvetica" w:cs="Helvetica"/>
          <w:b/>
          <w:color w:val="1C2024"/>
          <w:sz w:val="24"/>
          <w:szCs w:val="16"/>
          <w:lang w:eastAsia="it-IT"/>
        </w:rPr>
      </w:pPr>
      <w:r w:rsidRPr="00962529">
        <w:rPr>
          <w:rFonts w:ascii="Helvetica" w:eastAsia="Times New Roman" w:hAnsi="Helvetica" w:cs="Helvetica"/>
          <w:b/>
          <w:color w:val="1C2024"/>
          <w:sz w:val="24"/>
          <w:szCs w:val="16"/>
          <w:lang w:eastAsia="it-IT"/>
        </w:rPr>
        <w:t>PUBBLICHE AFFISSIONI</w:t>
      </w:r>
    </w:p>
    <w:p w:rsidR="00962529" w:rsidRDefault="00962529" w:rsidP="00962529">
      <w:pPr>
        <w:shd w:val="clear" w:color="auto" w:fill="FFFFFF"/>
        <w:spacing w:after="124" w:line="240" w:lineRule="auto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</w:p>
    <w:p w:rsidR="00962529" w:rsidRPr="00962529" w:rsidRDefault="00962529" w:rsidP="00962529">
      <w:pPr>
        <w:shd w:val="clear" w:color="auto" w:fill="FFFFFF"/>
        <w:spacing w:after="124" w:line="240" w:lineRule="auto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"</w:t>
      </w:r>
      <w:r w:rsidRPr="00962529">
        <w:rPr>
          <w:rFonts w:ascii="Helvetica" w:eastAsia="Times New Roman" w:hAnsi="Helvetica" w:cs="Helvetica"/>
          <w:b/>
          <w:bCs/>
          <w:color w:val="1C2024"/>
          <w:sz w:val="16"/>
          <w:lang w:eastAsia="it-IT"/>
        </w:rPr>
        <w:t>Disposizioni precedenti (fino al 31/12/2020)</w:t>
      </w: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"</w:t>
      </w:r>
    </w:p>
    <w:p w:rsidR="00962529" w:rsidRPr="00962529" w:rsidRDefault="00962529" w:rsidP="00962529">
      <w:pPr>
        <w:shd w:val="clear" w:color="auto" w:fill="ECECEC"/>
        <w:spacing w:after="71" w:line="240" w:lineRule="auto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b/>
          <w:bCs/>
          <w:color w:val="1C2024"/>
          <w:sz w:val="16"/>
          <w:lang w:eastAsia="it-IT"/>
        </w:rPr>
        <w:t>Cos'è il Servizio di Pubbliche Affissioni</w:t>
      </w:r>
    </w:p>
    <w:p w:rsidR="00962529" w:rsidRPr="00962529" w:rsidRDefault="00962529" w:rsidP="00962529">
      <w:pPr>
        <w:shd w:val="clear" w:color="auto" w:fill="FFFFFF"/>
        <w:spacing w:after="124" w:line="240" w:lineRule="auto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E' il servizio, a cura del Comune, inteso a garantire specificatamente l’affissione, in appositi impianti a ciò destinati, di manifesti contenenti comunicazioni aventi finalità istituzionali, sociali o comunque prive di rilevanza economica e di messaggi diffusi nell’esercizio di attività economiche.</w:t>
      </w:r>
    </w:p>
    <w:p w:rsidR="00962529" w:rsidRPr="00962529" w:rsidRDefault="00962529" w:rsidP="00962529">
      <w:pPr>
        <w:shd w:val="clear" w:color="auto" w:fill="ECECEC"/>
        <w:spacing w:after="71" w:line="240" w:lineRule="auto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b/>
          <w:bCs/>
          <w:color w:val="1C2024"/>
          <w:sz w:val="16"/>
          <w:lang w:eastAsia="it-IT"/>
        </w:rPr>
        <w:t>Prenotazione e Consegna dei manifesti</w:t>
      </w:r>
    </w:p>
    <w:p w:rsidR="00962529" w:rsidRPr="00962529" w:rsidRDefault="00962529" w:rsidP="00962529">
      <w:pPr>
        <w:shd w:val="clear" w:color="auto" w:fill="FFFFFF"/>
        <w:spacing w:after="124" w:line="240" w:lineRule="auto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Gli interessati debbono presentare, in tempo utile, apposita richiesta, con l'indicazione dei dati del committente, del materiale da affiggere (numero e formato dei manifesti, titolo dei manifesti) e della data di inizio e di fine dell’esposizione.</w:t>
      </w:r>
    </w:p>
    <w:p w:rsidR="00962529" w:rsidRPr="00962529" w:rsidRDefault="00962529" w:rsidP="00962529">
      <w:pPr>
        <w:shd w:val="clear" w:color="auto" w:fill="FFFFFF"/>
        <w:spacing w:after="124" w:line="240" w:lineRule="auto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I manifesti devono essere consegnati all’ufficio competente, nell’orario di apertura al pubblico ed a cura del committente, </w:t>
      </w:r>
      <w:r w:rsidRPr="00962529">
        <w:rPr>
          <w:rFonts w:ascii="Helvetica" w:eastAsia="Times New Roman" w:hAnsi="Helvetica" w:cs="Helvetica"/>
          <w:b/>
          <w:bCs/>
          <w:color w:val="1C2024"/>
          <w:sz w:val="16"/>
          <w:lang w:eastAsia="it-IT"/>
        </w:rPr>
        <w:t>almeno tre giorni lavorativi prima</w:t>
      </w: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 della data prenotata per l’affissione.</w:t>
      </w:r>
    </w:p>
    <w:p w:rsidR="00962529" w:rsidRPr="00962529" w:rsidRDefault="00962529" w:rsidP="00962529">
      <w:pPr>
        <w:shd w:val="clear" w:color="auto" w:fill="ECECEC"/>
        <w:spacing w:after="71" w:line="240" w:lineRule="auto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b/>
          <w:bCs/>
          <w:color w:val="1C2024"/>
          <w:sz w:val="16"/>
          <w:lang w:eastAsia="it-IT"/>
        </w:rPr>
        <w:t>Chi deve pagare</w:t>
      </w:r>
    </w:p>
    <w:p w:rsidR="00962529" w:rsidRPr="00962529" w:rsidRDefault="00962529" w:rsidP="00962529">
      <w:pPr>
        <w:shd w:val="clear" w:color="auto" w:fill="FFFFFF"/>
        <w:spacing w:after="124" w:line="240" w:lineRule="auto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E' tenuto al pagamento dei Diritti di Affissione colui che richiede il servizio. E' solidalmente obbligato al pagamento colui nell’interesse del quale il servizio stesso è richiesto.</w:t>
      </w:r>
    </w:p>
    <w:p w:rsidR="00962529" w:rsidRPr="00962529" w:rsidRDefault="00962529" w:rsidP="00962529">
      <w:pPr>
        <w:shd w:val="clear" w:color="auto" w:fill="ECECEC"/>
        <w:spacing w:after="71" w:line="240" w:lineRule="auto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b/>
          <w:bCs/>
          <w:color w:val="1C2024"/>
          <w:sz w:val="16"/>
          <w:lang w:eastAsia="it-IT"/>
        </w:rPr>
        <w:t>Chi non deve pagare</w:t>
      </w:r>
    </w:p>
    <w:p w:rsidR="00962529" w:rsidRPr="00962529" w:rsidRDefault="00962529" w:rsidP="00962529">
      <w:pPr>
        <w:shd w:val="clear" w:color="auto" w:fill="FFFFFF"/>
        <w:spacing w:after="124" w:line="240" w:lineRule="auto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Sono </w:t>
      </w:r>
      <w:r w:rsidRPr="00962529">
        <w:rPr>
          <w:rFonts w:ascii="Helvetica" w:eastAsia="Times New Roman" w:hAnsi="Helvetica" w:cs="Helvetica"/>
          <w:b/>
          <w:bCs/>
          <w:color w:val="1C2024"/>
          <w:sz w:val="16"/>
          <w:lang w:eastAsia="it-IT"/>
        </w:rPr>
        <w:t>esenti </w:t>
      </w: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dal diritto sulle pubbliche affissioni:</w:t>
      </w:r>
    </w:p>
    <w:p w:rsidR="00962529" w:rsidRPr="00962529" w:rsidRDefault="00962529" w:rsidP="00962529">
      <w:pPr>
        <w:numPr>
          <w:ilvl w:val="0"/>
          <w:numId w:val="1"/>
        </w:numPr>
        <w:shd w:val="clear" w:color="auto" w:fill="FFFFFF"/>
        <w:spacing w:after="88" w:line="240" w:lineRule="auto"/>
        <w:ind w:left="353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i manifesti riguardanti le attività istituzionali del Comune da esso svolte in via esclusiva, esposti nell’abito del proprio territorio;</w:t>
      </w:r>
    </w:p>
    <w:p w:rsidR="00962529" w:rsidRPr="00962529" w:rsidRDefault="00962529" w:rsidP="00962529">
      <w:pPr>
        <w:numPr>
          <w:ilvl w:val="0"/>
          <w:numId w:val="1"/>
        </w:numPr>
        <w:shd w:val="clear" w:color="auto" w:fill="FFFFFF"/>
        <w:spacing w:after="88" w:line="240" w:lineRule="auto"/>
        <w:ind w:left="353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i manifesti delle autorità militari relativi alle iscrizioni nelle liste di leva, alla chiamata ed ai richiami alle armi;</w:t>
      </w:r>
    </w:p>
    <w:p w:rsidR="00962529" w:rsidRPr="00962529" w:rsidRDefault="00962529" w:rsidP="00962529">
      <w:pPr>
        <w:numPr>
          <w:ilvl w:val="0"/>
          <w:numId w:val="1"/>
        </w:numPr>
        <w:shd w:val="clear" w:color="auto" w:fill="FFFFFF"/>
        <w:spacing w:after="88" w:line="240" w:lineRule="auto"/>
        <w:ind w:left="353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i manifesti dello Stato, delle Regioni e delle Provincie in materia di tributi;</w:t>
      </w:r>
    </w:p>
    <w:p w:rsidR="00962529" w:rsidRPr="00962529" w:rsidRDefault="00962529" w:rsidP="00962529">
      <w:pPr>
        <w:numPr>
          <w:ilvl w:val="0"/>
          <w:numId w:val="1"/>
        </w:numPr>
        <w:shd w:val="clear" w:color="auto" w:fill="FFFFFF"/>
        <w:spacing w:after="88" w:line="240" w:lineRule="auto"/>
        <w:ind w:left="353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i manifesti delle autorità di polizia in materia di pubblica sicurezza;</w:t>
      </w:r>
    </w:p>
    <w:p w:rsidR="00962529" w:rsidRPr="00962529" w:rsidRDefault="00962529" w:rsidP="00962529">
      <w:pPr>
        <w:numPr>
          <w:ilvl w:val="0"/>
          <w:numId w:val="1"/>
        </w:numPr>
        <w:shd w:val="clear" w:color="auto" w:fill="FFFFFF"/>
        <w:spacing w:after="88" w:line="240" w:lineRule="auto"/>
        <w:ind w:left="353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i manifesti relativi ad adempimenti di legge in materia di referendum, elezioni politiche, per il Parlamento Europeo, regionali, amministrative;</w:t>
      </w:r>
    </w:p>
    <w:p w:rsidR="00962529" w:rsidRPr="00962529" w:rsidRDefault="00962529" w:rsidP="00962529">
      <w:pPr>
        <w:numPr>
          <w:ilvl w:val="0"/>
          <w:numId w:val="1"/>
        </w:numPr>
        <w:shd w:val="clear" w:color="auto" w:fill="FFFFFF"/>
        <w:spacing w:after="88" w:line="240" w:lineRule="auto"/>
        <w:ind w:left="353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ogni altro manifesto la cui affissione sia obbligatoria per legge;</w:t>
      </w:r>
    </w:p>
    <w:p w:rsidR="00962529" w:rsidRPr="00962529" w:rsidRDefault="00962529" w:rsidP="00962529">
      <w:pPr>
        <w:numPr>
          <w:ilvl w:val="0"/>
          <w:numId w:val="1"/>
        </w:numPr>
        <w:shd w:val="clear" w:color="auto" w:fill="FFFFFF"/>
        <w:spacing w:after="88" w:line="240" w:lineRule="auto"/>
        <w:ind w:left="353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i manifesti concernenti corsi scolastici e professionali gratuiti regolarmente autorizzati;</w:t>
      </w:r>
    </w:p>
    <w:p w:rsidR="00962529" w:rsidRPr="00962529" w:rsidRDefault="00962529" w:rsidP="00962529">
      <w:pPr>
        <w:numPr>
          <w:ilvl w:val="0"/>
          <w:numId w:val="1"/>
        </w:numPr>
        <w:shd w:val="clear" w:color="auto" w:fill="FFFFFF"/>
        <w:spacing w:after="88" w:line="240" w:lineRule="auto"/>
        <w:ind w:left="353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i manifesti relativi ad iniziative e/o manifestazioni patrocinate dal Comune, limitatamente a 30 manifesti 70x100 per un periodo massimo di 10 gg. antecedenti l'iniziativa patrocinata.</w:t>
      </w:r>
    </w:p>
    <w:p w:rsidR="00962529" w:rsidRPr="00962529" w:rsidRDefault="00962529" w:rsidP="00962529">
      <w:pPr>
        <w:shd w:val="clear" w:color="auto" w:fill="ECECEC"/>
        <w:spacing w:after="71" w:line="240" w:lineRule="auto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b/>
          <w:bCs/>
          <w:color w:val="1C2024"/>
          <w:sz w:val="16"/>
          <w:lang w:eastAsia="it-IT"/>
        </w:rPr>
        <w:t>Come e quando si paga</w:t>
      </w:r>
    </w:p>
    <w:p w:rsidR="00962529" w:rsidRPr="00962529" w:rsidRDefault="00962529" w:rsidP="00962529">
      <w:pPr>
        <w:shd w:val="clear" w:color="auto" w:fill="FFFFFF"/>
        <w:spacing w:after="124" w:line="240" w:lineRule="auto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Il pagamento del diritto sulle pubbliche affissioni deve essere effettuato entro 4 gg. lavorativi dalla data di ricezione del preventivo e comunque prima della data di inizio dell’affissione, tramite bonifico (IBAN </w:t>
      </w:r>
      <w:r w:rsidRPr="00962529">
        <w:rPr>
          <w:rFonts w:ascii="Helvetica" w:eastAsia="Times New Roman" w:hAnsi="Helvetica" w:cs="Helvetica"/>
          <w:b/>
          <w:bCs/>
          <w:color w:val="1C2024"/>
          <w:sz w:val="16"/>
          <w:lang w:eastAsia="it-IT"/>
        </w:rPr>
        <w:t>IT14L0623024002000030491968)</w:t>
      </w: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 </w:t>
      </w:r>
      <w:r w:rsidRPr="00962529">
        <w:rPr>
          <w:rFonts w:ascii="Helvetica" w:eastAsia="Times New Roman" w:hAnsi="Helvetica" w:cs="Helvetica"/>
          <w:b/>
          <w:bCs/>
          <w:color w:val="1C2024"/>
          <w:sz w:val="16"/>
          <w:lang w:eastAsia="it-IT"/>
        </w:rPr>
        <w:t>o bollettino</w:t>
      </w: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 sul c/c postale n. 38058798 intestato a "Comune di Cesenatico - Imposta Pubblicità ed Affissioni - Servizio Tesoreria".</w:t>
      </w:r>
    </w:p>
    <w:p w:rsidR="00962529" w:rsidRPr="00962529" w:rsidRDefault="00962529" w:rsidP="00962529">
      <w:pPr>
        <w:shd w:val="clear" w:color="auto" w:fill="FFFFFF"/>
        <w:spacing w:after="124" w:line="240" w:lineRule="auto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Il diritto è calcolato in base a quanti fogli vengono commissionati e in base a quanti giorni d’esposizione vengono chiesti. E' stabilita una tariffa base a foglio per dieci giorni di esposizione, che aumenta ogni cinque giorni di esposizione aggiuntivi. </w:t>
      </w:r>
    </w:p>
    <w:p w:rsidR="00962529" w:rsidRPr="00962529" w:rsidRDefault="00962529" w:rsidP="00962529">
      <w:pPr>
        <w:shd w:val="clear" w:color="auto" w:fill="FFFFFF"/>
        <w:spacing w:after="124" w:line="240" w:lineRule="auto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Per ogni commissione inferiore a cinquanta fogli il diritto è maggiorato del 50%.</w:t>
      </w:r>
    </w:p>
    <w:p w:rsidR="00962529" w:rsidRPr="00962529" w:rsidRDefault="00962529" w:rsidP="00962529">
      <w:pPr>
        <w:shd w:val="clear" w:color="auto" w:fill="FFFFFF"/>
        <w:spacing w:after="124" w:line="240" w:lineRule="auto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Per i manifesti costituiti da otto fino a dodici fogli il diritto è maggiorato del 50%.</w:t>
      </w:r>
    </w:p>
    <w:p w:rsidR="00962529" w:rsidRPr="00962529" w:rsidRDefault="00962529" w:rsidP="00962529">
      <w:pPr>
        <w:shd w:val="clear" w:color="auto" w:fill="FFFFFF"/>
        <w:spacing w:after="124" w:line="240" w:lineRule="auto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Per quelli costituiti da più di dodici fogli è maggiorato del 100%.</w:t>
      </w:r>
    </w:p>
    <w:p w:rsidR="00962529" w:rsidRPr="00962529" w:rsidRDefault="00962529" w:rsidP="00962529">
      <w:pPr>
        <w:shd w:val="clear" w:color="auto" w:fill="FFFFFF"/>
        <w:spacing w:after="124" w:line="240" w:lineRule="auto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Per l’anno 2020, con </w:t>
      </w:r>
      <w:hyperlink r:id="rId5" w:tooltip="Delibera di G.C. n. 329 del 18/12/2019" w:history="1">
        <w:r w:rsidRPr="00962529">
          <w:rPr>
            <w:rFonts w:ascii="Helvetica" w:eastAsia="Times New Roman" w:hAnsi="Helvetica" w:cs="Helvetica"/>
            <w:b/>
            <w:bCs/>
            <w:color w:val="18628A"/>
            <w:sz w:val="16"/>
            <w:lang w:eastAsia="it-IT"/>
          </w:rPr>
          <w:t>Delibera di G.C. n. 329 del 18/12/2019</w:t>
        </w:r>
      </w:hyperlink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 sono state confermate le </w:t>
      </w:r>
      <w:hyperlink r:id="rId6" w:tooltip="tariffe" w:history="1">
        <w:r w:rsidRPr="00962529">
          <w:rPr>
            <w:rFonts w:ascii="Helvetica" w:eastAsia="Times New Roman" w:hAnsi="Helvetica" w:cs="Helvetica"/>
            <w:b/>
            <w:bCs/>
            <w:color w:val="18628A"/>
            <w:sz w:val="16"/>
            <w:lang w:eastAsia="it-IT"/>
          </w:rPr>
          <w:t>tariffe</w:t>
        </w:r>
      </w:hyperlink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 già deliberate per l’anno 2019.</w:t>
      </w:r>
    </w:p>
    <w:p w:rsidR="00962529" w:rsidRPr="00962529" w:rsidRDefault="00962529" w:rsidP="00962529">
      <w:pPr>
        <w:shd w:val="clear" w:color="auto" w:fill="FFFFFF"/>
        <w:spacing w:after="124" w:line="240" w:lineRule="auto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La tariffa per il servizio delle pubbliche affissioni è </w:t>
      </w:r>
      <w:r w:rsidRPr="00962529">
        <w:rPr>
          <w:rFonts w:ascii="Helvetica" w:eastAsia="Times New Roman" w:hAnsi="Helvetica" w:cs="Helvetica"/>
          <w:b/>
          <w:bCs/>
          <w:color w:val="1C2024"/>
          <w:sz w:val="16"/>
          <w:lang w:eastAsia="it-IT"/>
        </w:rPr>
        <w:t>ridotta alla metà</w:t>
      </w: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:</w:t>
      </w:r>
    </w:p>
    <w:p w:rsidR="00962529" w:rsidRPr="00962529" w:rsidRDefault="00962529" w:rsidP="00962529">
      <w:pPr>
        <w:numPr>
          <w:ilvl w:val="0"/>
          <w:numId w:val="2"/>
        </w:numPr>
        <w:shd w:val="clear" w:color="auto" w:fill="FFFFFF"/>
        <w:spacing w:after="88" w:line="240" w:lineRule="auto"/>
        <w:ind w:left="353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per i manifesti riguardanti in via esclusiva lo Stato e gli enti pubblici territoriali e che non rientrano nei casi per i quali è prevista l’esenzione;</w:t>
      </w:r>
    </w:p>
    <w:p w:rsidR="00962529" w:rsidRPr="00962529" w:rsidRDefault="00962529" w:rsidP="00962529">
      <w:pPr>
        <w:numPr>
          <w:ilvl w:val="0"/>
          <w:numId w:val="2"/>
        </w:numPr>
        <w:shd w:val="clear" w:color="auto" w:fill="FFFFFF"/>
        <w:spacing w:after="88" w:line="240" w:lineRule="auto"/>
        <w:ind w:left="353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per i manifesti di comitati, associazioni, fondazioni ed ogni altro ente che non abbia scopo di lucro;</w:t>
      </w:r>
    </w:p>
    <w:p w:rsidR="00962529" w:rsidRPr="00962529" w:rsidRDefault="00962529" w:rsidP="00962529">
      <w:pPr>
        <w:numPr>
          <w:ilvl w:val="0"/>
          <w:numId w:val="2"/>
        </w:numPr>
        <w:shd w:val="clear" w:color="auto" w:fill="FFFFFF"/>
        <w:spacing w:after="88" w:line="240" w:lineRule="auto"/>
        <w:ind w:left="353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per i manifesti relativi ad attività politiche, sindacali e di categoria, culturali, sportive, filantropiche e religiose, da chiunque realizzate, con il patrocinio o la partecipazione degli enti pubblici territoriali;</w:t>
      </w:r>
    </w:p>
    <w:p w:rsidR="00962529" w:rsidRPr="00962529" w:rsidRDefault="00962529" w:rsidP="00962529">
      <w:pPr>
        <w:numPr>
          <w:ilvl w:val="0"/>
          <w:numId w:val="2"/>
        </w:numPr>
        <w:shd w:val="clear" w:color="auto" w:fill="FFFFFF"/>
        <w:spacing w:after="88" w:line="240" w:lineRule="auto"/>
        <w:ind w:left="353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per i manifesti relativi a festeggiamenti patriottici, religiosi, a spettacoli viaggianti e di beneficenza;</w:t>
      </w:r>
    </w:p>
    <w:p w:rsidR="00962529" w:rsidRPr="00962529" w:rsidRDefault="00962529" w:rsidP="00962529">
      <w:pPr>
        <w:numPr>
          <w:ilvl w:val="0"/>
          <w:numId w:val="2"/>
        </w:numPr>
        <w:shd w:val="clear" w:color="auto" w:fill="FFFFFF"/>
        <w:spacing w:after="88" w:line="240" w:lineRule="auto"/>
        <w:ind w:left="353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per gli annunci mortuari.</w:t>
      </w:r>
    </w:p>
    <w:p w:rsidR="00962529" w:rsidRPr="00962529" w:rsidRDefault="00962529" w:rsidP="00962529">
      <w:pPr>
        <w:shd w:val="clear" w:color="auto" w:fill="FFFFFF"/>
        <w:spacing w:after="124" w:line="240" w:lineRule="auto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E’ prevista altresì una </w:t>
      </w:r>
      <w:r w:rsidRPr="00962529">
        <w:rPr>
          <w:rFonts w:ascii="Helvetica" w:eastAsia="Times New Roman" w:hAnsi="Helvetica" w:cs="Helvetica"/>
          <w:b/>
          <w:bCs/>
          <w:color w:val="1C2024"/>
          <w:sz w:val="16"/>
          <w:lang w:eastAsia="it-IT"/>
        </w:rPr>
        <w:t>maggiorazione stagionale</w:t>
      </w: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 del 50%, dal 15/05 al 15/09, limitatamente alle affissioni di carattere commerciale.</w:t>
      </w:r>
    </w:p>
    <w:p w:rsidR="00962529" w:rsidRPr="00962529" w:rsidRDefault="00962529" w:rsidP="00962529">
      <w:pPr>
        <w:shd w:val="clear" w:color="auto" w:fill="ECECEC"/>
        <w:spacing w:after="71" w:line="240" w:lineRule="auto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proofErr w:type="spellStart"/>
      <w:r w:rsidRPr="00962529">
        <w:rPr>
          <w:rFonts w:ascii="Helvetica" w:eastAsia="Times New Roman" w:hAnsi="Helvetica" w:cs="Helvetica"/>
          <w:b/>
          <w:bCs/>
          <w:color w:val="1C2024"/>
          <w:sz w:val="16"/>
          <w:lang w:eastAsia="it-IT"/>
        </w:rPr>
        <w:t>Nornativa</w:t>
      </w:r>
      <w:proofErr w:type="spellEnd"/>
      <w:r w:rsidRPr="00962529">
        <w:rPr>
          <w:rFonts w:ascii="Helvetica" w:eastAsia="Times New Roman" w:hAnsi="Helvetica" w:cs="Helvetica"/>
          <w:b/>
          <w:bCs/>
          <w:color w:val="1C2024"/>
          <w:sz w:val="16"/>
          <w:lang w:eastAsia="it-IT"/>
        </w:rPr>
        <w:t xml:space="preserve"> di riferimento</w:t>
      </w:r>
    </w:p>
    <w:p w:rsidR="00962529" w:rsidRPr="00962529" w:rsidRDefault="00962529" w:rsidP="00962529">
      <w:pPr>
        <w:shd w:val="clear" w:color="auto" w:fill="FFFFFF"/>
        <w:spacing w:after="124" w:line="240" w:lineRule="auto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 xml:space="preserve">Capo I del </w:t>
      </w:r>
      <w:proofErr w:type="spellStart"/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D.Lgs.</w:t>
      </w:r>
      <w:proofErr w:type="spellEnd"/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 xml:space="preserve"> 15 novembre 1993 n. 507 (ai sensi dell’art. 4, comma 3-quater del </w:t>
      </w:r>
      <w:proofErr w:type="spellStart"/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D.L</w:t>
      </w:r>
      <w:proofErr w:type="spellEnd"/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 xml:space="preserve"> 162 del 30/12/2019, convertito, con modificazioni, dalla L. n. 8 del 28/02/2020, non ha effetto per l’anno di imposta 2020 l’abrogazione del Capo I del </w:t>
      </w:r>
      <w:proofErr w:type="spellStart"/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D.Lgs.</w:t>
      </w:r>
      <w:proofErr w:type="spellEnd"/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 xml:space="preserve"> 507/1993 disposta dall’art. 1, c. 847 della L. 160/2019)</w:t>
      </w:r>
    </w:p>
    <w:p w:rsidR="00962529" w:rsidRPr="00962529" w:rsidRDefault="00962529" w:rsidP="00962529">
      <w:pPr>
        <w:shd w:val="clear" w:color="auto" w:fill="FFFFFF"/>
        <w:spacing w:after="124" w:line="240" w:lineRule="auto"/>
        <w:jc w:val="both"/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</w:pPr>
      <w:hyperlink r:id="rId7" w:tooltip="Regolamento Comunale" w:history="1">
        <w:r w:rsidRPr="00962529">
          <w:rPr>
            <w:rFonts w:ascii="Helvetica" w:eastAsia="Times New Roman" w:hAnsi="Helvetica" w:cs="Helvetica"/>
            <w:b/>
            <w:bCs/>
            <w:color w:val="18628A"/>
            <w:sz w:val="16"/>
            <w:lang w:eastAsia="it-IT"/>
          </w:rPr>
          <w:t>Regolamento Comunale</w:t>
        </w:r>
      </w:hyperlink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 xml:space="preserve"> per l’applicazione dell’imposta comunale sulla pubblicità e per l’effettuazione del servizio delle pubbliche affissioni, approvato con Delibera C.C. n. 89 del 15/07/1994 e </w:t>
      </w:r>
      <w:proofErr w:type="spellStart"/>
      <w:r w:rsidRPr="00962529">
        <w:rPr>
          <w:rFonts w:ascii="Helvetica" w:eastAsia="Times New Roman" w:hAnsi="Helvetica" w:cs="Helvetica"/>
          <w:color w:val="1C2024"/>
          <w:sz w:val="16"/>
          <w:szCs w:val="16"/>
          <w:lang w:eastAsia="it-IT"/>
        </w:rPr>
        <w:t>ss.mm.ii.</w:t>
      </w:r>
      <w:proofErr w:type="spellEnd"/>
    </w:p>
    <w:p w:rsidR="005D01F9" w:rsidRDefault="005D01F9"/>
    <w:sectPr w:rsidR="005D01F9" w:rsidSect="005D01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30FDE"/>
    <w:multiLevelType w:val="multilevel"/>
    <w:tmpl w:val="CF1C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173F5"/>
    <w:multiLevelType w:val="multilevel"/>
    <w:tmpl w:val="95EA9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962529"/>
    <w:rsid w:val="005D01F9"/>
    <w:rsid w:val="008B58AD"/>
    <w:rsid w:val="00962529"/>
    <w:rsid w:val="00D3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1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6252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625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626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663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3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554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705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81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cesenatico.fc.it/servizi/regolamenti/regolamenti_fase02.aspx?ID=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cesenatico.fc.it/servizi/gestionedocumentale/visualizzadocumento.aspx?ID=21820" TargetMode="External"/><Relationship Id="rId5" Type="http://schemas.openxmlformats.org/officeDocument/2006/relationships/hyperlink" Target="http://www.comune.cesenatico.fc.it/servizi/gestionedocumentale/visualizzadocumento.aspx?ID=167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simona.casabianca</dc:creator>
  <cp:lastModifiedBy>simona.casabianca</cp:lastModifiedBy>
  <cp:revision>1</cp:revision>
  <dcterms:created xsi:type="dcterms:W3CDTF">2024-01-25T09:14:00Z</dcterms:created>
  <dcterms:modified xsi:type="dcterms:W3CDTF">2024-01-25T09:15:00Z</dcterms:modified>
</cp:coreProperties>
</file>